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372611" w14:textId="3E13E930" w:rsidR="008B6EAB" w:rsidRPr="00820EDA" w:rsidRDefault="006071AA">
      <w:pPr>
        <w:rPr>
          <w:rFonts w:ascii="Corbel" w:hAnsi="Corbel"/>
          <w:b/>
          <w:color w:val="000000" w:themeColor="text1"/>
          <w:sz w:val="32"/>
          <w:szCs w:val="20"/>
          <w:lang w:val="en-US"/>
        </w:rPr>
      </w:pPr>
      <w:bookmarkStart w:id="0" w:name="_GoBack"/>
      <w:bookmarkEnd w:id="0"/>
      <w:r w:rsidRPr="00820EDA">
        <w:rPr>
          <w:rFonts w:ascii="Corbel" w:hAnsi="Corbel"/>
          <w:b/>
          <w:color w:val="000000" w:themeColor="text1"/>
          <w:sz w:val="32"/>
          <w:szCs w:val="20"/>
          <w:lang w:val="en-US"/>
        </w:rPr>
        <w:t>Intent</w:t>
      </w:r>
    </w:p>
    <w:p w14:paraId="78BC3A3B" w14:textId="18B77784" w:rsidR="006071AA" w:rsidRDefault="006071AA" w:rsidP="006071AA">
      <w:pPr>
        <w:rPr>
          <w:rFonts w:ascii="Corbel" w:hAnsi="Corbel"/>
          <w:color w:val="000000" w:themeColor="text1"/>
          <w:sz w:val="20"/>
          <w:szCs w:val="20"/>
          <w:lang w:val="en-US"/>
        </w:rPr>
      </w:pPr>
      <w:r w:rsidRPr="006071AA">
        <w:rPr>
          <w:rFonts w:ascii="Corbel" w:hAnsi="Corbel"/>
          <w:color w:val="000000" w:themeColor="text1"/>
          <w:sz w:val="20"/>
          <w:szCs w:val="20"/>
          <w:lang w:val="en-US"/>
        </w:rPr>
        <w:t>At Town Field, our intention is to provide a high-quality mathematics curriculum which promotes confidence and enjoyment, and inspires curiosity about Maths. Our curriculum supports our pupils to become confident, competent and independent mathematicians.  This is achieved by developing a positive mindset in all our staff and children that everyone can do maths and that maths is for everyone.  We want every child to thrive and succeed in their maths lessons, enabling them to transition to secondary school as confident mathematicians with a secure foundation upon which to build in Key Stage 3 and 4. Our maths curriculum provides our children with knowledge of the necessary number facts to enable them to work fluently throughout all areas of the maths curriculum.  They develop a deep conceptual understanding of each area of the areas of mathematics they are taught, enabling them to make connections and apply their knowledge in different situations.  Our curriculum has a strong focus on mathematical vocabulary and develops children’s ability to articulate, discuss and explain their thinking using accurate language.  Our maths curriculum supports our children to develop resilience when faced with problem solving situations and encourages them to be inquisitive learners.</w:t>
      </w:r>
      <w:r>
        <w:rPr>
          <w:rFonts w:ascii="Corbel" w:hAnsi="Corbel"/>
          <w:color w:val="000000" w:themeColor="text1"/>
          <w:sz w:val="20"/>
          <w:szCs w:val="20"/>
          <w:lang w:val="en-US"/>
        </w:rPr>
        <w:t xml:space="preserve"> </w:t>
      </w:r>
      <w:r w:rsidRPr="006071AA">
        <w:rPr>
          <w:rFonts w:ascii="Corbel" w:hAnsi="Corbel"/>
          <w:color w:val="000000" w:themeColor="text1"/>
          <w:sz w:val="20"/>
          <w:szCs w:val="20"/>
          <w:lang w:val="en-US"/>
        </w:rPr>
        <w:t xml:space="preserve">Our </w:t>
      </w:r>
      <w:r w:rsidRPr="006071AA">
        <w:rPr>
          <w:rFonts w:ascii="Corbel" w:hAnsi="Corbel" w:cs="Arial"/>
          <w:color w:val="000000" w:themeColor="text1"/>
          <w:sz w:val="20"/>
          <w:szCs w:val="20"/>
        </w:rPr>
        <w:t>‘Town Field Ten’ skills for life and learning</w:t>
      </w:r>
      <w:r w:rsidRPr="006071AA">
        <w:rPr>
          <w:rFonts w:ascii="Corbel" w:hAnsi="Corbel"/>
          <w:color w:val="000000" w:themeColor="text1"/>
          <w:sz w:val="20"/>
          <w:szCs w:val="20"/>
          <w:lang w:val="en-US"/>
        </w:rPr>
        <w:t xml:space="preserve"> underpin our approach to learning across all subjects at Town Field</w:t>
      </w:r>
      <w:r w:rsidR="001163C3">
        <w:rPr>
          <w:rFonts w:ascii="Corbel" w:hAnsi="Corbel"/>
          <w:color w:val="000000" w:themeColor="text1"/>
          <w:sz w:val="20"/>
          <w:szCs w:val="20"/>
          <w:lang w:val="en-US"/>
        </w:rPr>
        <w:t>.</w:t>
      </w:r>
    </w:p>
    <w:p w14:paraId="5170B155" w14:textId="77777777" w:rsidR="00820EDA" w:rsidRPr="006071AA" w:rsidRDefault="00820EDA" w:rsidP="006071AA">
      <w:pPr>
        <w:rPr>
          <w:rFonts w:ascii="Corbel" w:hAnsi="Corbel"/>
          <w:color w:val="000000" w:themeColor="text1"/>
          <w:sz w:val="20"/>
          <w:szCs w:val="20"/>
          <w:lang w:val="en-US"/>
        </w:rPr>
      </w:pPr>
    </w:p>
    <w:p w14:paraId="6812E464" w14:textId="77777777" w:rsidR="006071AA" w:rsidRPr="00820EDA" w:rsidRDefault="006071AA" w:rsidP="006071AA">
      <w:pPr>
        <w:shd w:val="clear" w:color="auto" w:fill="FFFFFF"/>
        <w:spacing w:before="75" w:after="120" w:line="240" w:lineRule="auto"/>
        <w:outlineLvl w:val="1"/>
        <w:rPr>
          <w:rFonts w:ascii="Corbel" w:eastAsia="Times New Roman" w:hAnsi="Corbel" w:cs="Arial"/>
          <w:b/>
          <w:bCs/>
          <w:color w:val="000000" w:themeColor="text1"/>
          <w:sz w:val="32"/>
          <w:szCs w:val="20"/>
          <w:lang w:eastAsia="en-GB"/>
        </w:rPr>
      </w:pPr>
      <w:r w:rsidRPr="00820EDA">
        <w:rPr>
          <w:rFonts w:ascii="Corbel" w:eastAsia="Times New Roman" w:hAnsi="Corbel" w:cs="Arial"/>
          <w:b/>
          <w:bCs/>
          <w:color w:val="000000" w:themeColor="text1"/>
          <w:sz w:val="32"/>
          <w:szCs w:val="20"/>
          <w:lang w:eastAsia="en-GB"/>
        </w:rPr>
        <w:t>Implementation</w:t>
      </w:r>
    </w:p>
    <w:p w14:paraId="37D0AD04" w14:textId="77777777" w:rsidR="006071AA" w:rsidRPr="006071AA" w:rsidRDefault="006071AA" w:rsidP="006071AA">
      <w:pPr>
        <w:pStyle w:val="NormalWeb"/>
        <w:shd w:val="clear" w:color="auto" w:fill="FFFFFF"/>
        <w:spacing w:before="0" w:beforeAutospacing="0" w:after="150" w:afterAutospacing="0"/>
        <w:jc w:val="both"/>
        <w:rPr>
          <w:rFonts w:ascii="Corbel" w:hAnsi="Corbel" w:cs="Arial"/>
          <w:color w:val="000000" w:themeColor="text1"/>
          <w:sz w:val="20"/>
          <w:szCs w:val="20"/>
        </w:rPr>
      </w:pPr>
      <w:r w:rsidRPr="006071AA">
        <w:rPr>
          <w:rFonts w:ascii="Corbel" w:hAnsi="Corbel" w:cs="Arial"/>
          <w:color w:val="000000" w:themeColor="text1"/>
          <w:sz w:val="20"/>
          <w:szCs w:val="20"/>
        </w:rPr>
        <w:t xml:space="preserve">Our curriculum is based on the NCETM’s Curriculum prioritisation materials and follows a mastery approach. Teaching the curriculum content in blocks, allows children time to explore skills and knowledge in depth and gain a secure understanding of particular subject matter. Key knowledge and skills are also revisited daily to embed and solidify learning using nothing new, just review. The EYFS curriculum is based on the NCETM’s mastering Number Programme.  This programme is also followed in KS1 and is used as an additional </w:t>
      </w:r>
      <w:proofErr w:type="gramStart"/>
      <w:r w:rsidRPr="006071AA">
        <w:rPr>
          <w:rFonts w:ascii="Corbel" w:hAnsi="Corbel" w:cs="Arial"/>
          <w:color w:val="000000" w:themeColor="text1"/>
          <w:sz w:val="20"/>
          <w:szCs w:val="20"/>
        </w:rPr>
        <w:t>10 minute</w:t>
      </w:r>
      <w:proofErr w:type="gramEnd"/>
      <w:r w:rsidRPr="006071AA">
        <w:rPr>
          <w:rFonts w:ascii="Corbel" w:hAnsi="Corbel" w:cs="Arial"/>
          <w:color w:val="000000" w:themeColor="text1"/>
          <w:sz w:val="20"/>
          <w:szCs w:val="20"/>
        </w:rPr>
        <w:t xml:space="preserve"> daily maths session to develop children’s number fact recall and fluency.  In Year 3, the children continue with the Mastering Number Programme where needed and then progress to working with their times table booklets.  In KS2, the children follow our schools progression for times tables, consisting of sessions developing a conceptual understanding of the times table, before spending time developing recall of the times table facts.  Lessons are carefully crafted using small coherent steps.  Manipulatives are used throughout all Key stages to expose mathematical structures and alongside a wide variety of representations, support children to move into working confidently in the abstract.  There is a strong focus on both conceptual and procedural variation in lessons, enabling children to understand what a mathematical concept ‘is’ and also what it ‘is not’.  Stem sentences, and high level, precise mathematical vocabulary </w:t>
      </w:r>
      <w:proofErr w:type="gramStart"/>
      <w:r w:rsidRPr="006071AA">
        <w:rPr>
          <w:rFonts w:ascii="Corbel" w:hAnsi="Corbel" w:cs="Arial"/>
          <w:color w:val="000000" w:themeColor="text1"/>
          <w:sz w:val="20"/>
          <w:szCs w:val="20"/>
        </w:rPr>
        <w:t>are</w:t>
      </w:r>
      <w:proofErr w:type="gramEnd"/>
      <w:r w:rsidRPr="006071AA">
        <w:rPr>
          <w:rFonts w:ascii="Corbel" w:hAnsi="Corbel" w:cs="Arial"/>
          <w:color w:val="000000" w:themeColor="text1"/>
          <w:sz w:val="20"/>
          <w:szCs w:val="20"/>
        </w:rPr>
        <w:t xml:space="preserve"> used throughout all year groups to provide our children with the language they need to articulate their responses to questions and explain their thinking.  Children are assessed in maths against the early learning goals in EYFS. Maths in KS1 and KS2 is assessed through ongoing formative assessment and we carry out termly summative assessments (Star Assessments) at key points in the year within our school’s monitoring and evaluating cycle. These progress tests allow teachers to measure attainment and progress while also preparing children to positively engage in and complete regular summative testing (KS2 SATs).</w:t>
      </w:r>
      <w:r>
        <w:rPr>
          <w:rFonts w:ascii="Corbel" w:hAnsi="Corbel" w:cs="Arial"/>
          <w:color w:val="000000" w:themeColor="text1"/>
          <w:sz w:val="20"/>
          <w:szCs w:val="20"/>
        </w:rPr>
        <w:t xml:space="preserve"> </w:t>
      </w:r>
      <w:r w:rsidRPr="006071AA">
        <w:rPr>
          <w:rFonts w:ascii="Corbel" w:hAnsi="Corbel" w:cs="Arial"/>
          <w:color w:val="000000" w:themeColor="text1"/>
          <w:sz w:val="20"/>
          <w:szCs w:val="20"/>
        </w:rPr>
        <w:t>All assessments are used to identify any children who need additional support in any of these key areas to ensure an effective transition to the maths curriculum in the next year group.  Keep up interventions are completed daily where needed and catch up interventions are completed using the ready to progress support materials produced by the NCETM.</w:t>
      </w:r>
    </w:p>
    <w:p w14:paraId="5B8A4061" w14:textId="77777777" w:rsidR="006071AA" w:rsidRPr="00820EDA" w:rsidRDefault="006071AA" w:rsidP="006071AA">
      <w:pPr>
        <w:shd w:val="clear" w:color="auto" w:fill="FFFFFF"/>
        <w:spacing w:before="100" w:beforeAutospacing="1" w:after="100" w:afterAutospacing="1" w:line="240" w:lineRule="auto"/>
        <w:rPr>
          <w:rFonts w:ascii="Corbel" w:eastAsia="Times New Roman" w:hAnsi="Corbel" w:cs="Arial"/>
          <w:b/>
          <w:color w:val="000000" w:themeColor="text1"/>
          <w:sz w:val="32"/>
          <w:szCs w:val="20"/>
          <w:lang w:eastAsia="en-GB"/>
        </w:rPr>
      </w:pPr>
      <w:r w:rsidRPr="00820EDA">
        <w:rPr>
          <w:rFonts w:ascii="Corbel" w:hAnsi="Corbel" w:cs="Arial"/>
          <w:b/>
          <w:color w:val="000000" w:themeColor="text1"/>
          <w:sz w:val="32"/>
          <w:szCs w:val="20"/>
        </w:rPr>
        <w:t>Impact</w:t>
      </w:r>
    </w:p>
    <w:p w14:paraId="61D49F7B" w14:textId="77777777" w:rsidR="006071AA" w:rsidRPr="006071AA" w:rsidRDefault="006071AA" w:rsidP="006071AA">
      <w:pPr>
        <w:pStyle w:val="NormalWeb"/>
        <w:shd w:val="clear" w:color="auto" w:fill="FFFFFF"/>
        <w:rPr>
          <w:rFonts w:ascii="Corbel" w:hAnsi="Corbel" w:cs="Arial"/>
          <w:color w:val="000000" w:themeColor="text1"/>
          <w:sz w:val="20"/>
          <w:szCs w:val="20"/>
        </w:rPr>
      </w:pPr>
      <w:r w:rsidRPr="006071AA">
        <w:rPr>
          <w:rFonts w:ascii="Corbel" w:hAnsi="Corbel" w:cs="Arial"/>
          <w:color w:val="000000" w:themeColor="text1"/>
          <w:sz w:val="20"/>
          <w:szCs w:val="20"/>
        </w:rPr>
        <w:t xml:space="preserve">The impact of our mathematics curriculum is that children understand the relevance and importance of what they are learning in relation to real world concepts. Children know that maths is a vital life skill that they will rely on in many areas of their daily life. Children have a positive view of maths due to learning in lessons which are a hive of activity, where hands-on exploration and peer-to-peer discussion creates excitement, builds positive attitudes and ensures that children feel safe to make mistakes.  Our maths books evidence work of a high standard of which children clearly take pride; the components of the teaching sequences demonstrate good coverage of fluency, reasoning and problem solving. Our feedback and interventions support children to strive to be the best mathematicians they can be, ensuring a high proportion of children are on track or above. By the end of Year 6, transitioning to secondary school, we aspire that a Town Field mathematician will have </w:t>
      </w:r>
      <w:r w:rsidRPr="006071AA">
        <w:rPr>
          <w:rFonts w:ascii="Corbel" w:hAnsi="Corbel" w:cs="Arial"/>
          <w:color w:val="000000" w:themeColor="text1"/>
          <w:sz w:val="20"/>
          <w:szCs w:val="20"/>
        </w:rPr>
        <w:lastRenderedPageBreak/>
        <w:t>developed a bank of efficient and accurate skills that can be used to calculate effectively. These will have been underpinned by a deep conceptual understanding so children ‘understand the maths’ rather than ‘just do the maths’.  Children will be able to apply these mathematical skills to become confident and resilient problem-solvers with the ability to reason and articulate their ideas mathematically using precise vocabulary.</w:t>
      </w:r>
    </w:p>
    <w:p w14:paraId="34F70E25" w14:textId="77777777" w:rsidR="006071AA" w:rsidRPr="006071AA" w:rsidRDefault="006071AA" w:rsidP="006071AA">
      <w:pPr>
        <w:rPr>
          <w:lang w:val="en-US"/>
        </w:rPr>
      </w:pPr>
    </w:p>
    <w:sectPr w:rsidR="006071AA" w:rsidRPr="006071AA" w:rsidSect="006071AA">
      <w:headerReference w:type="default" r:id="rId10"/>
      <w:pgSz w:w="11906" w:h="16838"/>
      <w:pgMar w:top="1276"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92631B" w14:textId="77777777" w:rsidR="00820EDA" w:rsidRDefault="00820EDA" w:rsidP="00820EDA">
      <w:pPr>
        <w:spacing w:after="0" w:line="240" w:lineRule="auto"/>
      </w:pPr>
      <w:r>
        <w:separator/>
      </w:r>
    </w:p>
  </w:endnote>
  <w:endnote w:type="continuationSeparator" w:id="0">
    <w:p w14:paraId="6D551591" w14:textId="77777777" w:rsidR="00820EDA" w:rsidRDefault="00820EDA" w:rsidP="00820E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106EBB" w14:textId="77777777" w:rsidR="00820EDA" w:rsidRDefault="00820EDA" w:rsidP="00820EDA">
      <w:pPr>
        <w:spacing w:after="0" w:line="240" w:lineRule="auto"/>
      </w:pPr>
      <w:r>
        <w:separator/>
      </w:r>
    </w:p>
  </w:footnote>
  <w:footnote w:type="continuationSeparator" w:id="0">
    <w:p w14:paraId="5E5F579E" w14:textId="77777777" w:rsidR="00820EDA" w:rsidRDefault="00820EDA" w:rsidP="00820E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DE14E3" w14:textId="5A5F1B21" w:rsidR="00820EDA" w:rsidRPr="00820EDA" w:rsidRDefault="00820EDA" w:rsidP="00820EDA">
    <w:pPr>
      <w:jc w:val="center"/>
      <w:rPr>
        <w:rFonts w:ascii="Corbel" w:hAnsi="Corbel"/>
        <w:b/>
        <w:color w:val="000000" w:themeColor="text1"/>
        <w:sz w:val="20"/>
        <w:szCs w:val="20"/>
        <w:lang w:val="en-US"/>
      </w:rPr>
    </w:pPr>
    <w:r>
      <w:rPr>
        <w:noProof/>
        <w:lang w:eastAsia="en-GB"/>
      </w:rPr>
      <w:drawing>
        <wp:inline distT="0" distB="0" distL="0" distR="0" wp14:anchorId="0A3318BF" wp14:editId="6FC7A3C3">
          <wp:extent cx="434340" cy="434340"/>
          <wp:effectExtent l="0" t="0" r="3810" b="3810"/>
          <wp:docPr id="1" name="Picture 1" descr="Town Field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wn Field Primary Schoo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4340" cy="434340"/>
                  </a:xfrm>
                  <a:prstGeom prst="rect">
                    <a:avLst/>
                  </a:prstGeom>
                  <a:noFill/>
                  <a:ln>
                    <a:noFill/>
                  </a:ln>
                </pic:spPr>
              </pic:pic>
            </a:graphicData>
          </a:graphic>
        </wp:inline>
      </w:drawing>
    </w:r>
    <w:r w:rsidRPr="00820EDA">
      <w:rPr>
        <w:rFonts w:ascii="Corbel" w:hAnsi="Corbel"/>
        <w:b/>
        <w:color w:val="000000" w:themeColor="text1"/>
        <w:sz w:val="32"/>
        <w:szCs w:val="20"/>
        <w:u w:val="single"/>
        <w:lang w:val="en-US"/>
      </w:rPr>
      <w:t>Mathematics at Town Field</w:t>
    </w:r>
    <w:r>
      <w:rPr>
        <w:noProof/>
        <w:lang w:eastAsia="en-GB"/>
      </w:rPr>
      <w:drawing>
        <wp:inline distT="0" distB="0" distL="0" distR="0" wp14:anchorId="2C1D587A" wp14:editId="7CD7FCA2">
          <wp:extent cx="434340" cy="434340"/>
          <wp:effectExtent l="0" t="0" r="3810" b="3810"/>
          <wp:docPr id="2" name="Picture 2" descr="Town Field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wn Field Primary Schoo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4340" cy="434340"/>
                  </a:xfrm>
                  <a:prstGeom prst="rect">
                    <a:avLst/>
                  </a:prstGeom>
                  <a:noFill/>
                  <a:ln>
                    <a:noFill/>
                  </a:ln>
                </pic:spPr>
              </pic:pic>
            </a:graphicData>
          </a:graphic>
        </wp:inline>
      </w:drawing>
    </w:r>
  </w:p>
  <w:p w14:paraId="407B3ADC" w14:textId="77777777" w:rsidR="00820EDA" w:rsidRDefault="00820ED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71AA"/>
    <w:rsid w:val="001163C3"/>
    <w:rsid w:val="003D5471"/>
    <w:rsid w:val="006071AA"/>
    <w:rsid w:val="00820EDA"/>
    <w:rsid w:val="008B6EAB"/>
    <w:rsid w:val="00C737D2"/>
    <w:rsid w:val="00CC48DF"/>
    <w:rsid w:val="00DB67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8F321"/>
  <w15:chartTrackingRefBased/>
  <w15:docId w15:val="{18D2845A-753B-4CE5-8D14-F2394C334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6071AA"/>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071A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6071AA"/>
    <w:rPr>
      <w:rFonts w:ascii="Times New Roman" w:eastAsia="Times New Roman" w:hAnsi="Times New Roman" w:cs="Times New Roman"/>
      <w:b/>
      <w:bCs/>
      <w:sz w:val="36"/>
      <w:szCs w:val="36"/>
      <w:lang w:eastAsia="en-GB"/>
    </w:rPr>
  </w:style>
  <w:style w:type="paragraph" w:styleId="BalloonText">
    <w:name w:val="Balloon Text"/>
    <w:basedOn w:val="Normal"/>
    <w:link w:val="BalloonTextChar"/>
    <w:uiPriority w:val="99"/>
    <w:semiHidden/>
    <w:unhideWhenUsed/>
    <w:rsid w:val="006071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71AA"/>
    <w:rPr>
      <w:rFonts w:ascii="Segoe UI" w:hAnsi="Segoe UI" w:cs="Segoe UI"/>
      <w:sz w:val="18"/>
      <w:szCs w:val="18"/>
    </w:rPr>
  </w:style>
  <w:style w:type="paragraph" w:styleId="Header">
    <w:name w:val="header"/>
    <w:basedOn w:val="Normal"/>
    <w:link w:val="HeaderChar"/>
    <w:uiPriority w:val="99"/>
    <w:unhideWhenUsed/>
    <w:rsid w:val="00820E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0EDA"/>
  </w:style>
  <w:style w:type="paragraph" w:styleId="Footer">
    <w:name w:val="footer"/>
    <w:basedOn w:val="Normal"/>
    <w:link w:val="FooterChar"/>
    <w:uiPriority w:val="99"/>
    <w:unhideWhenUsed/>
    <w:rsid w:val="00820E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0E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7990692">
      <w:bodyDiv w:val="1"/>
      <w:marLeft w:val="0"/>
      <w:marRight w:val="0"/>
      <w:marTop w:val="0"/>
      <w:marBottom w:val="0"/>
      <w:divBdr>
        <w:top w:val="none" w:sz="0" w:space="0" w:color="auto"/>
        <w:left w:val="none" w:sz="0" w:space="0" w:color="auto"/>
        <w:bottom w:val="none" w:sz="0" w:space="0" w:color="auto"/>
        <w:right w:val="none" w:sz="0" w:space="0" w:color="auto"/>
      </w:divBdr>
    </w:div>
    <w:div w:id="1446653750">
      <w:bodyDiv w:val="1"/>
      <w:marLeft w:val="0"/>
      <w:marRight w:val="0"/>
      <w:marTop w:val="0"/>
      <w:marBottom w:val="0"/>
      <w:divBdr>
        <w:top w:val="none" w:sz="0" w:space="0" w:color="auto"/>
        <w:left w:val="none" w:sz="0" w:space="0" w:color="auto"/>
        <w:bottom w:val="none" w:sz="0" w:space="0" w:color="auto"/>
        <w:right w:val="none" w:sz="0" w:space="0" w:color="auto"/>
      </w:divBdr>
    </w:div>
    <w:div w:id="1930385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UniqueSourceRef xmlns="a149ef12-1929-451b-936a-fe53138fef4e" xsi:nil="true"/>
    <CloudMigratorOriginId xmlns="a149ef12-1929-451b-936a-fe53138fef4e" xsi:nil="true"/>
    <FileHash xmlns="a149ef12-1929-451b-936a-fe53138fef4e" xsi:nil="true"/>
    <_activity xmlns="a149ef12-1929-451b-936a-fe53138fef4e" xsi:nil="true"/>
    <CloudMigratorVersion xmlns="a149ef12-1929-451b-936a-fe53138fef4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FFC5E309A797A47BD0D9B4B0A6CFD22" ma:contentTypeVersion="20" ma:contentTypeDescription="Create a new document." ma:contentTypeScope="" ma:versionID="a7b51b67e0e933d554f3903777ba5378">
  <xsd:schema xmlns:xsd="http://www.w3.org/2001/XMLSchema" xmlns:xs="http://www.w3.org/2001/XMLSchema" xmlns:p="http://schemas.microsoft.com/office/2006/metadata/properties" xmlns:ns3="a149ef12-1929-451b-936a-fe53138fef4e" xmlns:ns4="2b3aea6a-95f3-45be-806e-b0454d178232" targetNamespace="http://schemas.microsoft.com/office/2006/metadata/properties" ma:root="true" ma:fieldsID="e1ab3d08368293be48424dcd08f53630" ns3:_="" ns4:_="">
    <xsd:import namespace="a149ef12-1929-451b-936a-fe53138fef4e"/>
    <xsd:import namespace="2b3aea6a-95f3-45be-806e-b0454d178232"/>
    <xsd:element name="properties">
      <xsd:complexType>
        <xsd:sequence>
          <xsd:element name="documentManagement">
            <xsd:complexType>
              <xsd:all>
                <xsd:element ref="ns3:CloudMigratorOriginId" minOccurs="0"/>
                <xsd:element ref="ns3:FileHash" minOccurs="0"/>
                <xsd:element ref="ns3:CloudMigratorVersion" minOccurs="0"/>
                <xsd:element ref="ns3:UniqueSourceRef" minOccurs="0"/>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_activity"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49ef12-1929-451b-936a-fe53138fef4e" elementFormDefault="qualified">
    <xsd:import namespace="http://schemas.microsoft.com/office/2006/documentManagement/types"/>
    <xsd:import namespace="http://schemas.microsoft.com/office/infopath/2007/PartnerControls"/>
    <xsd:element name="CloudMigratorOriginId" ma:index="8" nillable="true" ma:displayName="CloudMigratorOriginId" ma:internalName="CloudMigratorOriginId">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CloudMigratorVersion" ma:index="10" nillable="true" ma:displayName="CloudMigratorVersion" ma:internalName="CloudMigratorVersion">
      <xsd:simpleType>
        <xsd:restriction base="dms:Note">
          <xsd:maxLength value="255"/>
        </xsd:restriction>
      </xsd:simpleType>
    </xsd:element>
    <xsd:element name="UniqueSourceRef" ma:index="11" nillable="true" ma:displayName="UniqueSourceRef" ma:internalName="UniqueSourceRef">
      <xsd:simpleType>
        <xsd:restriction base="dms:Note">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_activity" ma:index="24" nillable="true" ma:displayName="_activity" ma:hidden="true" ma:internalName="_activity">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SystemTags" ma:index="27"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b3aea6a-95f3-45be-806e-b0454d178232"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SharingHintHash" ma:index="2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5DD4D1-E753-47E6-BA1A-B414F17E51F4}">
  <ds:schemaRefs>
    <ds:schemaRef ds:uri="http://schemas.microsoft.com/sharepoint/v3/contenttype/forms"/>
  </ds:schemaRefs>
</ds:datastoreItem>
</file>

<file path=customXml/itemProps2.xml><?xml version="1.0" encoding="utf-8"?>
<ds:datastoreItem xmlns:ds="http://schemas.openxmlformats.org/officeDocument/2006/customXml" ds:itemID="{1FC2E674-BA71-40BC-9BEE-F8D6C6DF6FD3}">
  <ds:schemaRefs>
    <ds:schemaRef ds:uri="http://purl.org/dc/terms/"/>
    <ds:schemaRef ds:uri="http://schemas.openxmlformats.org/package/2006/metadata/core-properties"/>
    <ds:schemaRef ds:uri="http://schemas.microsoft.com/office/infopath/2007/PartnerControls"/>
    <ds:schemaRef ds:uri="http://purl.org/dc/elements/1.1/"/>
    <ds:schemaRef ds:uri="2b3aea6a-95f3-45be-806e-b0454d178232"/>
    <ds:schemaRef ds:uri="http://www.w3.org/XML/1998/namespace"/>
    <ds:schemaRef ds:uri="http://schemas.microsoft.com/office/2006/documentManagement/types"/>
    <ds:schemaRef ds:uri="a149ef12-1929-451b-936a-fe53138fef4e"/>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11A6B1B3-1CD2-4662-8A4B-15EFD6EA29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49ef12-1929-451b-936a-fe53138fef4e"/>
    <ds:schemaRef ds:uri="2b3aea6a-95f3-45be-806e-b0454d1782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280816A-AA91-4EAB-9420-2B0AAB6409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791</Words>
  <Characters>4510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Milburn</dc:creator>
  <cp:keywords/>
  <dc:description/>
  <cp:lastModifiedBy>Emma Ellwood</cp:lastModifiedBy>
  <cp:revision>2</cp:revision>
  <dcterms:created xsi:type="dcterms:W3CDTF">2024-10-03T12:12:00Z</dcterms:created>
  <dcterms:modified xsi:type="dcterms:W3CDTF">2024-10-03T12:12:00Z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0x0101008FFC5E309A797A47BD0D9B4B0A6CFD22</vt:lpwstr>
  </property>
</Properties>
</file>